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B3" w:rsidRPr="00D716B3" w:rsidRDefault="00D716B3" w:rsidP="00D716B3">
      <w:pPr>
        <w:spacing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u w:val="single"/>
        </w:rPr>
      </w:pPr>
      <w:bookmarkStart w:id="0" w:name="_GoBack"/>
      <w:r w:rsidRPr="00D716B3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Từ 01/01/2025, đeo tai nghe khi lái xe máy phạt đến 1 triệu đồng</w:t>
      </w:r>
    </w:p>
    <w:p w:rsidR="00D716B3" w:rsidRPr="00D716B3" w:rsidRDefault="00D716B3" w:rsidP="00D716B3">
      <w:pPr>
        <w:spacing w:after="0" w:line="240" w:lineRule="auto"/>
        <w:jc w:val="both"/>
        <w:rPr>
          <w:rFonts w:ascii="Arial" w:eastAsia="Times New Roman" w:hAnsi="Arial" w:cs="Arial"/>
          <w:color w:val="222222"/>
          <w:szCs w:val="28"/>
        </w:rPr>
      </w:pPr>
    </w:p>
    <w:p w:rsidR="00D716B3" w:rsidRPr="00D716B3" w:rsidRDefault="00D716B3" w:rsidP="00D716B3">
      <w:pPr>
        <w:spacing w:after="0" w:line="240" w:lineRule="auto"/>
        <w:ind w:firstLine="720"/>
        <w:jc w:val="both"/>
        <w:rPr>
          <w:rFonts w:eastAsia="Times New Roman" w:cs="Times New Roman"/>
          <w:i/>
          <w:color w:val="222222"/>
          <w:szCs w:val="28"/>
        </w:rPr>
      </w:pPr>
      <w:r w:rsidRPr="00D716B3">
        <w:rPr>
          <w:rFonts w:eastAsia="Times New Roman" w:cs="Times New Roman"/>
          <w:b/>
          <w:bCs/>
          <w:i/>
          <w:color w:val="222222"/>
          <w:szCs w:val="28"/>
        </w:rPr>
        <w:t>Đây là quy định tại Nghị định 168/2024/NĐ-CP về xử phạt vi phạm hành chính về trật tự an toàn giao thông đường bộ; trừ điểm, phục hồi điểm giấy phép lái xe.</w:t>
      </w:r>
    </w:p>
    <w:p w:rsidR="00D716B3" w:rsidRPr="00D716B3" w:rsidRDefault="00D716B3" w:rsidP="00D716B3">
      <w:pPr>
        <w:spacing w:before="180" w:after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Theo khoản 3 Điều 33 </w:t>
      </w:r>
      <w:hyperlink r:id="rId5" w:history="1">
        <w:r w:rsidRPr="00D716B3">
          <w:rPr>
            <w:rFonts w:eastAsia="Times New Roman" w:cs="Times New Roman"/>
            <w:color w:val="A67942"/>
            <w:szCs w:val="28"/>
          </w:rPr>
          <w:t>Luật Trật tự, an toàn giao thông đường bộ 2024</w:t>
        </w:r>
      </w:hyperlink>
      <w:r w:rsidRPr="00D716B3">
        <w:rPr>
          <w:rFonts w:eastAsia="Times New Roman" w:cs="Times New Roman"/>
          <w:color w:val="222222"/>
          <w:szCs w:val="28"/>
        </w:rPr>
        <w:t> thì các những hành vi bị nghiêm cấm đối với người lái xe mô tô hai bánh, xe mô tô ba bánh, xe gắn máy có thể kể đến như: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bCs/>
          <w:color w:val="222222"/>
          <w:szCs w:val="28"/>
        </w:rPr>
        <w:t>- Sử dụng ô, thiết bị âm thanh, trừ thiết bị trợ thính;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- Đi xe dàn hàng ngang;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- Đi xe vào phần đường dành cho người đi bộ và phương tiện khác;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- Buông cả hai tay; đi xe bằng một bánh đối với xe mô tô, xe gắn máy hai bánh; đi xe bằng hai bánh đối với xe mô tô, xe gắn máy ba bánh;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- Sử dụng xe để kéo, đẩy xe khác, vật khác, dẫn dắt vật nuôi, mang, vác và chở vật cồng kềnh; chở người đứng trên xe, giá đèo hàng hoặc ngồi trên tay lái; xếp hàng hóa trên xe quá giới hạn quy định;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- Ngồi về một bên điều khiển xe; đứng, nằm trên xe điều khiển xe; thay người lái xe khi xe đang chạy; quay người về phía sau để điều khiển xe hoặc bịt mắt điều khiển xe; sử dụng chân chống hoặc vật khác quệt xuống đường khi xe đang chạy;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- Hành vi khác gây mất trật tự, an toàn giao thông đường bộ…</w:t>
      </w:r>
    </w:p>
    <w:p w:rsidR="00D716B3" w:rsidRPr="00D716B3" w:rsidRDefault="00D716B3" w:rsidP="00D716B3">
      <w:pPr>
        <w:spacing w:before="180" w:after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Như vậy </w:t>
      </w:r>
      <w:r w:rsidRPr="00D716B3">
        <w:rPr>
          <w:rFonts w:eastAsia="Times New Roman" w:cs="Times New Roman"/>
          <w:bCs/>
          <w:color w:val="222222"/>
          <w:szCs w:val="28"/>
        </w:rPr>
        <w:t>đeo tai nghe, thiết bị âm thanh là hành vi bị cấm đối với người điều khiển xe mô tô hai bánh, xe mô tô ba bánh, xe gắn máy.</w:t>
      </w:r>
    </w:p>
    <w:p w:rsidR="00D716B3" w:rsidRPr="00D716B3" w:rsidRDefault="00D716B3" w:rsidP="00D716B3">
      <w:pPr>
        <w:spacing w:before="180" w:after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bCs/>
          <w:color w:val="222222"/>
          <w:szCs w:val="28"/>
        </w:rPr>
        <w:t>Về mức phạt đối với hành vi này,</w:t>
      </w:r>
      <w:r w:rsidRPr="00D716B3">
        <w:rPr>
          <w:rFonts w:eastAsia="Times New Roman" w:cs="Times New Roman"/>
          <w:color w:val="222222"/>
          <w:szCs w:val="28"/>
        </w:rPr>
        <w:t> theo điểm đ khoản 4 Điều 7 Nghị định 168/2024/NĐ-CP quy định xử phạt hành chính </w:t>
      </w:r>
      <w:r w:rsidRPr="00D716B3">
        <w:rPr>
          <w:rFonts w:eastAsia="Times New Roman" w:cs="Times New Roman"/>
          <w:bCs/>
          <w:color w:val="222222"/>
          <w:szCs w:val="28"/>
        </w:rPr>
        <w:t>từ 800.000 đồng - 1.000.000 đồng với người đang điều khiển xe máy sử dụng ô (dù), thiết bị âm thanh (trừ thiết bị trợ thính), dùng tay cầm và sử dụng điện thoại hoặc các thiết bị điện tử khác.</w:t>
      </w:r>
    </w:p>
    <w:p w:rsidR="00D716B3" w:rsidRPr="00D716B3" w:rsidRDefault="00D716B3" w:rsidP="00D716B3">
      <w:pPr>
        <w:spacing w:before="180" w:after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Bên cạnh bị phạt tiền thì người vi phạm còn bị trừ 04 điểm giấy phép lái xe theo điểm b khoản 13 Điều 7 Nghị định 168/2024/NĐ-CP.</w:t>
      </w:r>
    </w:p>
    <w:p w:rsidR="00D716B3" w:rsidRPr="00D716B3" w:rsidRDefault="00D716B3" w:rsidP="00D716B3">
      <w:pPr>
        <w:spacing w:before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hyperlink r:id="rId6" w:history="1">
        <w:r w:rsidRPr="00D716B3">
          <w:rPr>
            <w:rFonts w:eastAsia="Times New Roman" w:cs="Times New Roman"/>
            <w:color w:val="A67942"/>
            <w:szCs w:val="28"/>
          </w:rPr>
          <w:t>Nghị định 168/2024/NĐ-CP</w:t>
        </w:r>
      </w:hyperlink>
      <w:r w:rsidRPr="00D716B3">
        <w:rPr>
          <w:rFonts w:eastAsia="Times New Roman" w:cs="Times New Roman"/>
          <w:color w:val="222222"/>
          <w:szCs w:val="28"/>
        </w:rPr>
        <w:t> có hiệu lực từ ngày 01/01/2025.</w:t>
      </w:r>
    </w:p>
    <w:bookmarkEnd w:id="0"/>
    <w:p w:rsidR="005D1B0A" w:rsidRPr="00D716B3" w:rsidRDefault="005D1B0A" w:rsidP="00D716B3">
      <w:pPr>
        <w:jc w:val="both"/>
        <w:rPr>
          <w:szCs w:val="28"/>
        </w:rPr>
      </w:pPr>
    </w:p>
    <w:sectPr w:rsidR="005D1B0A" w:rsidRPr="00D7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B3"/>
    <w:rsid w:val="005D1B0A"/>
    <w:rsid w:val="00B415BB"/>
    <w:rsid w:val="00D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16B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B3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716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16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16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16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16B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B3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716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16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16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16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296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uatvietnam.vn/an-ninh-trat-tu/nghi-dinh-168-2024-nd-cp-xu-phat-vi-pham-hanh-chinh-ve-ttat-giao-thong-duong-bo-tru-diem-phuc-hoi-diem-giay-phep-lai-xe-382883-d1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luatvietnam.vn/giao-thong/luat-trat-tu-an-toan-giao-thong-duong-bo-cua-quoc-hoi-so-36-2024-qh15-360844-d1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0F40C-2FCA-4F01-80E4-EAFFF812C817}"/>
</file>

<file path=customXml/itemProps2.xml><?xml version="1.0" encoding="utf-8"?>
<ds:datastoreItem xmlns:ds="http://schemas.openxmlformats.org/officeDocument/2006/customXml" ds:itemID="{D5178803-8330-45A8-997D-40EEF76EC2CA}"/>
</file>

<file path=customXml/itemProps3.xml><?xml version="1.0" encoding="utf-8"?>
<ds:datastoreItem xmlns:ds="http://schemas.openxmlformats.org/officeDocument/2006/customXml" ds:itemID="{042E4CFE-D941-4474-9452-67FBF2660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2025-01-03T03:18:00Z</dcterms:created>
  <dcterms:modified xsi:type="dcterms:W3CDTF">2025-01-03T03:23:00Z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